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9" w:rsidRDefault="009F2499" w:rsidP="009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 </w:t>
      </w:r>
    </w:p>
    <w:p w:rsidR="009F2499" w:rsidRDefault="009F2499" w:rsidP="009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Общественной палаты </w:t>
      </w:r>
    </w:p>
    <w:p w:rsidR="009F2499" w:rsidRPr="009F2499" w:rsidRDefault="009F2499" w:rsidP="009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9F2499" w:rsidRDefault="009F2499" w:rsidP="009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499" w:rsidRPr="009F2499" w:rsidRDefault="004D1DA0" w:rsidP="009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</w:t>
      </w:r>
      <w:r w:rsidR="009F2499" w:rsidRPr="009F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2020 года № </w:t>
      </w:r>
      <w:r w:rsidR="009F24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F2499" w:rsidRPr="009F2499" w:rsidRDefault="009F2499" w:rsidP="005421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2115" w:rsidRPr="00DB3B6B" w:rsidRDefault="008D569F" w:rsidP="009F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542115" w:rsidRPr="00DB3B6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 процедуры избрания</w:t>
        </w:r>
        <w:r w:rsidR="009F2499" w:rsidRPr="00DB3B6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в состав Общественной палаты Российской Федерации</w:t>
        </w:r>
        <w:r w:rsidR="00542115" w:rsidRPr="00DB3B6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представителя Общественной палаты </w:t>
        </w:r>
        <w:r w:rsidR="009F2499" w:rsidRPr="00DB3B6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Республики</w:t>
        </w:r>
      </w:hyperlink>
      <w:r w:rsidR="009F2499" w:rsidRPr="00D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Хакасия</w:t>
      </w:r>
    </w:p>
    <w:p w:rsidR="009F2499" w:rsidRPr="005D53E7" w:rsidRDefault="009F2499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</w:pP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1. Общие положения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1.1. Настоящий Порядок определяет процедуру избрания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состав Общественной палаты Российской Федерации.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1.2. Настоящий Порядок утверждается на заседании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1.3. Порядок и сроки избрания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 определены Федеральным законом от </w:t>
      </w:r>
      <w:r w:rsidR="00F151E9" w:rsidRPr="00F151E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Федерального зако</w:t>
      </w:r>
      <w:r w:rsidR="00F151E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на от 04.04.2005 г. </w:t>
      </w:r>
      <w:r w:rsidR="00F151E9" w:rsidRPr="00F151E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№ 32-ФЗ «Об Общественной палате Российской Федерации»</w:t>
      </w:r>
      <w:r w:rsidR="00F151E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1.4. Избрание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состав Общественной палаты Российской Федерации осуществляется путем тайного альтернативного голосования большинством голосов от общего числа членов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на заседании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1.5. Под альтернативным голосованием понимается включение в бюллетень для тайного голосования по избранию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 не менее двух кандидатов.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1.6. Кандидаты в состав Общественной палаты Российской Федерации предлагаются на заседании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Председателем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из числа членов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обладающих безупречной репутацией.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1.7. Председатель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не может являться представителем региональной Общественной палаты в Общественной палате РФ, в соответствии с действующим законодательством. В случае его избрания в состав Общественной палаты РФ он обязан сложить свои полномочия руководителя региональной общественной палаты и направить в Общественную палату РФ соответствующее заявление (приложение № 3).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1.8. Уполномоченным органом, осуществляющим процедуру голосования и подсчёта голосов на заседании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 является счётная комиссия.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1.9. Счетная комиссия избирается на заседании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из числа членов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количестве трех человек путем открытого голосования.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1.10. Председатель счетной комиссии избирается членами счетной комиссии.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1.11. Для проведения процедуры избрания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состав Общественной палаты Российской Федерации 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счётной комиссией изготавливаются бюллетени</w:t>
      </w:r>
      <w:r w:rsidR="0093711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для голосования в количестве 37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штук.</w:t>
      </w:r>
    </w:p>
    <w:p w:rsidR="005D53E7" w:rsidRDefault="005D53E7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</w:pP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2. Счётная комиссия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2.1.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Изготавливает и выдаёт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бюллетени для тайного голосования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2.2. Обеспечивает реализацию процедуры тайного альтернативного голосования.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2.3. Проводит подсчет голосов делегатов, поданных за каждого кандидата.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2.4. Определяет результаты тайного альтернативного голосования.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2.5. Оформляет протокол счетной комиссии.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2.6. Председатель счетной комиссии подписывает выписку из протокола заседания Общественной палаты (согласно приложению № 1).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</w:t>
      </w: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3. Помещение для проведения избрания представителя Общественной палаты </w:t>
      </w:r>
      <w:r w:rsidR="009F2499"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 xml:space="preserve"> в Общественную палату РФ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3.1. В помещении для проведения избрания представителя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 должна быть отдельная комната для работы счётной комиссии и подсчёта голосов.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</w:t>
      </w: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4. Бюллетень для голосования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4.1. Для участия 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голосовании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каждый член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получает бюллетень.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4.2. В бюллетене в алфавитном порядке помещается фамилия, имя, отчество каждого кандидата. Справа от этой информации помещается пустой квадрат.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4.3. В верхнем углу бюллетеня должна быть подпись председателя счётной комиссии.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</w:t>
      </w: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5. Вид и порядок голосования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5.1. Каждый член Общественной палаты </w:t>
      </w:r>
      <w:r w:rsidR="009F2499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голосует лично. Голосование за других</w:t>
      </w:r>
      <w:r w:rsidR="008D569F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членов Общественной палаты</w:t>
      </w:r>
      <w:bookmarkStart w:id="0" w:name="_GoBack"/>
      <w:bookmarkEnd w:id="0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не допускается.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5.2. Бюллетени выдаются членам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членами счетной комиссии непосредственно на заседании Общественной палаты после объявления процедуры голосования и изготовления бюллетеней для голосования.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5.3. Голосование проводится путём нанесения 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бюллетене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любого знака в квадрате, относящемся к кандидату в представители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РФ, в пользу которого сделан выбор.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5.4. Недействительным признается бюллетень, 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котором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содержатся исправления, по которым невозможно определить волеизъявление голосующего, а также содержатся пометки более чем в одном квадрате.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5.5. Если проголосовавший член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считает, что при заполнении бюллетеня допустил ошибку, он вправе обратиться за выдачей ему нового бюллетеня взамен испорченного. На испорченном бюллетене делается запись «бюллетень испорчен».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5.6. Заполненные бюллетени опускаются делегатами в опечатанный ящик для голосования.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 </w:t>
      </w:r>
    </w:p>
    <w:p w:rsidR="00542115" w:rsidRPr="005D53E7" w:rsidRDefault="00542115" w:rsidP="005D5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ru-RU"/>
        </w:rPr>
        <w:t>6. Определение результатов выборов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 xml:space="preserve">6.1. Подсчет голосов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начинается сразу после окончания времени голосования и проводится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без перерыва до установления результатов выборов.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6.2. В помещении для подсчёта голосов во время подсчёта голосов могут находиться исключительно члены счётной комиссии.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6.3. Бюллетени неустановленной формы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откладываются отдельно и при подсчете голосов не учитываются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После сортировки бюллетеней на действительные и недействительные производится подсчет голосов по действительным бюллетеням.</w:t>
      </w:r>
      <w:proofErr w:type="gramEnd"/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6.4. Результаты выборов счётная комиссия оформляет протоколом о результатах выборов представителя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РФ, 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который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вносятся следующие данные: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1) число присутствовавших членов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2) установленное количество членов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3) фамилия, имя, отчество кандидатур, внесенных для тайного альтернативного голосования;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4) количество членов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, принявших участие в 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голосовании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4) число голосов, поданных за каждого кандидата;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5) фамилия, имя, отчество избранного большинством голосов от установленного количества членов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представителя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6) фамилии и инициалы председателя и членов счётной комиссии и их подписи;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7) дата и время подписания протокола.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6.5. В случае</w:t>
      </w:r>
      <w:proofErr w:type="gramStart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,</w:t>
      </w:r>
      <w:proofErr w:type="gramEnd"/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если на голосование было выставлено три и более кандидатуры в состав Общественной палаты РФ, то проводится второй тур голосования, на который выносятся две кандидатуры, набравшие наибольшее количество голосов.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6.5. В случае равенства голосов или невозможности определить победившего кандидата (в случае, если кандидаты не набрали нужного количества голосов) –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проводится дополнительное голосование в порядке, определённом статьями 4, 5 и 6 настоящего положения.</w:t>
      </w:r>
    </w:p>
    <w:p w:rsidR="00542115" w:rsidRPr="005D53E7" w:rsidRDefault="00542115" w:rsidP="0054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6.6. По итогам голосования в Общественную палату РФ направляется выписка из протокола заседания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и анкета избранного представителя Общественной палаты </w:t>
      </w:r>
      <w:r w:rsidR="005D53E7"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Республики Хакасия</w:t>
      </w:r>
      <w:r w:rsidRPr="005D53E7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в Общественную палату РФ с его конкретными данными, согласно приложению № 2.</w:t>
      </w:r>
    </w:p>
    <w:p w:rsidR="00C110BF" w:rsidRPr="005D53E7" w:rsidRDefault="00C110BF" w:rsidP="0054211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10BF" w:rsidRPr="005D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5A"/>
    <w:rsid w:val="0009055A"/>
    <w:rsid w:val="004D1DA0"/>
    <w:rsid w:val="00542115"/>
    <w:rsid w:val="005D53E7"/>
    <w:rsid w:val="008D569F"/>
    <w:rsid w:val="00937111"/>
    <w:rsid w:val="009F2499"/>
    <w:rsid w:val="00C110BF"/>
    <w:rsid w:val="00DB3B6B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pk.permkrai.ru/docs/2016-10-21-08-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2020-02-25T06:31:00Z</cp:lastPrinted>
  <dcterms:created xsi:type="dcterms:W3CDTF">2020-02-17T02:36:00Z</dcterms:created>
  <dcterms:modified xsi:type="dcterms:W3CDTF">2020-03-02T02:44:00Z</dcterms:modified>
</cp:coreProperties>
</file>